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Theme="majorEastAsia" w:hAnsiTheme="majorEastAsia" w:eastAsiaTheme="majorEastAsia"/>
          <w:sz w:val="32"/>
        </w:rPr>
      </w:pPr>
      <w:r>
        <w:rPr>
          <w:rFonts w:ascii="Times New Roman" w:hAnsi="Times New Roman" w:cs="Times New Roman"/>
          <w:sz w:val="32"/>
        </w:rPr>
        <w:t>ACEA NovoCyte</w:t>
      </w:r>
      <w:r>
        <w:rPr>
          <w:rFonts w:hint="eastAsia" w:asciiTheme="majorEastAsia" w:hAnsiTheme="majorEastAsia" w:eastAsiaTheme="majorEastAsia"/>
          <w:sz w:val="32"/>
        </w:rPr>
        <w:t>流式细胞仪使用和管理规则</w:t>
      </w:r>
    </w:p>
    <w:p>
      <w:pPr>
        <w:adjustRightInd w:val="0"/>
        <w:snapToGrid w:val="0"/>
        <w:spacing w:after="240"/>
        <w:jc w:val="center"/>
        <w:rPr>
          <w:rFonts w:hint="default" w:ascii="Times New Roman" w:hAnsi="Times New Roman" w:cs="Times New Roman" w:eastAsiaTheme="minorEastAsia"/>
          <w:sz w:val="32"/>
          <w:lang w:val="en-US" w:eastAsia="zh-CN"/>
        </w:rPr>
      </w:pPr>
      <w:r>
        <w:rPr>
          <w:rFonts w:ascii="Times New Roman" w:hAnsi="Times New Roman" w:cs="Times New Roman"/>
          <w:sz w:val="32"/>
        </w:rPr>
        <w:t xml:space="preserve">ACEA NovoCyte </w:t>
      </w:r>
      <w:r>
        <w:rPr>
          <w:rFonts w:hint="eastAsia" w:ascii="Times New Roman" w:hAnsi="Times New Roman" w:cs="Times New Roman"/>
          <w:sz w:val="32"/>
          <w:lang w:val="en-US" w:eastAsia="zh-CN"/>
        </w:rPr>
        <w:t>User</w:t>
      </w:r>
      <w:r>
        <w:rPr>
          <w:rFonts w:hint="default" w:ascii="Times New Roman" w:hAnsi="Times New Roman" w:cs="Times New Roman"/>
          <w:sz w:val="32"/>
          <w:lang w:val="en-US" w:eastAsia="zh-CN"/>
        </w:rPr>
        <w:t>’</w:t>
      </w:r>
      <w:r>
        <w:rPr>
          <w:rFonts w:hint="eastAsia" w:ascii="Times New Roman" w:hAnsi="Times New Roman" w:cs="Times New Roman"/>
          <w:sz w:val="32"/>
          <w:lang w:val="en-US" w:eastAsia="zh-CN"/>
        </w:rPr>
        <w:t>s Guide</w:t>
      </w:r>
      <w:bookmarkStart w:id="12" w:name="_GoBack"/>
      <w:bookmarkEnd w:id="12"/>
    </w:p>
    <w:p>
      <w:pPr>
        <w:keepNext w:val="0"/>
        <w:keepLines w:val="0"/>
        <w:widowControl/>
        <w:suppressLineNumbers w:val="0"/>
        <w:jc w:val="left"/>
      </w:pPr>
      <w:r>
        <w:rPr>
          <w:rFonts w:ascii="Times New Roman" w:hAnsi="Times New Roman" w:cs="Times New Roman"/>
          <w:b/>
          <w:kern w:val="44"/>
          <w:szCs w:val="21"/>
        </w:rPr>
        <w:t>一、操作流程</w:t>
      </w:r>
      <w:r>
        <w:rPr>
          <w:rFonts w:ascii="Times New Roman" w:hAnsi="Times New Roman" w:cs="Times New Roman"/>
          <w:b/>
          <w:kern w:val="44"/>
          <w:szCs w:val="21"/>
          <w:lang w:val="en-US" w:eastAsia="zh-CN"/>
        </w:rPr>
        <w:t xml:space="preserve">Workflow </w:t>
      </w:r>
      <w:r>
        <w:rPr>
          <w:rFonts w:hint="eastAsia" w:ascii="Times New Roman" w:hAnsi="Times New Roman" w:cs="Times New Roman"/>
          <w:b/>
          <w:kern w:val="44"/>
          <w:szCs w:val="21"/>
          <w:lang w:val="en-US" w:eastAsia="zh-CN"/>
        </w:rPr>
        <w:t>o</w:t>
      </w:r>
      <w:r>
        <w:rPr>
          <w:rFonts w:ascii="Times New Roman" w:hAnsi="Times New Roman" w:cs="Times New Roman"/>
          <w:b/>
          <w:kern w:val="44"/>
          <w:szCs w:val="21"/>
          <w:lang w:val="en-US" w:eastAsia="zh-CN"/>
        </w:rPr>
        <w:t>verview</w:t>
      </w:r>
    </w:p>
    <w:p>
      <w:pPr>
        <w:spacing w:line="360" w:lineRule="auto"/>
        <w:rPr>
          <w:rFonts w:hint="eastAsia"/>
        </w:rPr>
      </w:pPr>
      <w:r>
        <w:drawing>
          <wp:inline distT="0" distB="0" distL="114300" distR="114300">
            <wp:extent cx="5205095" cy="468630"/>
            <wp:effectExtent l="0" t="0" r="14605" b="762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509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before="93" w:beforeLines="30" w:line="360" w:lineRule="auto"/>
        <w:rPr>
          <w:rFonts w:ascii="Times New Roman" w:hAnsi="Times New Roman" w:cs="Times New Roman"/>
          <w:b/>
          <w:kern w:val="44"/>
          <w:szCs w:val="21"/>
        </w:rPr>
      </w:pPr>
      <w:r>
        <w:rPr>
          <w:rFonts w:ascii="Times New Roman" w:hAnsi="Times New Roman" w:cs="Times New Roman"/>
          <w:b/>
          <w:kern w:val="44"/>
          <w:szCs w:val="21"/>
        </w:rPr>
        <w:t xml:space="preserve">二、开机程序 Boot program </w:t>
      </w:r>
    </w:p>
    <w:p>
      <w:pPr>
        <w:snapToGrid w:val="0"/>
        <w:spacing w:before="93" w:beforeLines="30" w:line="360" w:lineRule="auto"/>
        <w:rPr>
          <w:rFonts w:ascii="Times New Roman" w:hAnsi="Times New Roman" w:cs="Times New Roman"/>
          <w:bCs/>
          <w:kern w:val="44"/>
          <w:szCs w:val="21"/>
        </w:rPr>
      </w:pPr>
      <w:r>
        <w:rPr>
          <w:rFonts w:ascii="Times New Roman" w:hAnsi="Times New Roman" w:cs="Times New Roman"/>
          <w:bCs/>
          <w:kern w:val="44"/>
          <w:szCs w:val="21"/>
        </w:rPr>
        <w:t>1. 开机前检查Check before Start</w:t>
      </w:r>
      <w:r>
        <w:rPr>
          <w:rFonts w:hint="eastAsia" w:ascii="Times New Roman" w:hAnsi="Times New Roman" w:cs="Times New Roman"/>
          <w:bCs/>
          <w:kern w:val="44"/>
          <w:szCs w:val="21"/>
        </w:rPr>
        <w:t>-</w:t>
      </w:r>
      <w:r>
        <w:rPr>
          <w:rFonts w:ascii="Times New Roman" w:hAnsi="Times New Roman" w:cs="Times New Roman"/>
          <w:bCs/>
          <w:kern w:val="44"/>
          <w:szCs w:val="21"/>
        </w:rPr>
        <w:t>up</w:t>
      </w:r>
    </w:p>
    <w:p>
      <w:pPr>
        <w:numPr>
          <w:ilvl w:val="0"/>
          <w:numId w:val="1"/>
        </w:numPr>
        <w:snapToGrid w:val="0"/>
        <w:spacing w:line="360" w:lineRule="auto"/>
        <w:ind w:left="0" w:firstLine="0"/>
        <w:jc w:val="left"/>
        <w:rPr>
          <w:rFonts w:ascii="Times New Roman" w:hAnsi="Times New Roman" w:cs="Times New Roman"/>
          <w:bCs/>
          <w:szCs w:val="21"/>
        </w:rPr>
      </w:pPr>
      <w:bookmarkStart w:id="0" w:name="OLE_LINK3"/>
      <w:r>
        <w:rPr>
          <w:rFonts w:ascii="Times New Roman" w:hAnsi="Times New Roman" w:cs="Times New Roman"/>
          <w:bCs/>
          <w:kern w:val="44"/>
          <w:szCs w:val="21"/>
        </w:rPr>
        <w:t>检查NovoCyte主机和工作站、主机和储液台的电源线及其他线路连接良好</w:t>
      </w:r>
      <w:bookmarkEnd w:id="0"/>
      <w:r>
        <w:rPr>
          <w:rFonts w:ascii="Times New Roman" w:hAnsi="Times New Roman" w:cs="Times New Roman"/>
          <w:bCs/>
          <w:kern w:val="44"/>
          <w:szCs w:val="21"/>
        </w:rPr>
        <w:t>。Check whether the power cords and other lines of NovoCyte instrument, fluidics station, and NovoCyte workstation are well connected or not.</w:t>
      </w:r>
    </w:p>
    <w:p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bCs/>
          <w:kern w:val="44"/>
          <w:szCs w:val="21"/>
        </w:rPr>
      </w:pPr>
      <w:bookmarkStart w:id="1" w:name="OLE_LINK4"/>
      <w:r>
        <w:rPr>
          <w:rFonts w:ascii="Times New Roman" w:hAnsi="Times New Roman" w:cs="Times New Roman"/>
          <w:bCs/>
          <w:kern w:val="44"/>
          <w:szCs w:val="21"/>
        </w:rPr>
        <w:t>添加配套液体，排空废液（确保仪器处于“就绪”或关机状态）Add the supporting liquid and drain the waste liquid (make sure the instrument is in "Ready" or “Shutdown” state)</w:t>
      </w:r>
    </w:p>
    <w:bookmarkEnd w:id="1"/>
    <w:p>
      <w:pPr>
        <w:numPr>
          <w:ilvl w:val="0"/>
          <w:numId w:val="3"/>
        </w:numPr>
        <w:tabs>
          <w:tab w:val="left" w:pos="220"/>
        </w:tabs>
        <w:spacing w:line="360" w:lineRule="auto"/>
        <w:ind w:left="0" w:firstLine="0"/>
        <w:jc w:val="left"/>
        <w:rPr>
          <w:rFonts w:ascii="Times New Roman" w:hAnsi="Times New Roman" w:cs="Times New Roman"/>
          <w:bCs/>
          <w:kern w:val="44"/>
          <w:szCs w:val="21"/>
        </w:rPr>
      </w:pPr>
      <w:bookmarkStart w:id="2" w:name="OLE_LINK5"/>
      <w:r>
        <w:rPr>
          <w:rFonts w:ascii="Times New Roman" w:hAnsi="Times New Roman" w:cs="Times New Roman"/>
          <w:bCs/>
          <w:kern w:val="44"/>
          <w:szCs w:val="21"/>
        </w:rPr>
        <w:t>观察鞘液瓶、清洗液瓶、冲洗液瓶中液面情况，若液体量不足，请及时补充。</w:t>
      </w:r>
      <w:bookmarkEnd w:id="2"/>
      <w:r>
        <w:rPr>
          <w:rFonts w:ascii="Times New Roman" w:hAnsi="Times New Roman" w:cs="Times New Roman"/>
          <w:bCs/>
          <w:kern w:val="44"/>
          <w:szCs w:val="21"/>
        </w:rPr>
        <w:t>Observe the liquid level in the sheath fluid tank, NovoClean tank and NovoRinse tank. If the amount of liquid is insufficient, please add it in time.</w:t>
      </w:r>
    </w:p>
    <w:p>
      <w:pPr>
        <w:numPr>
          <w:ilvl w:val="0"/>
          <w:numId w:val="3"/>
        </w:numPr>
        <w:tabs>
          <w:tab w:val="left" w:pos="220"/>
        </w:tabs>
        <w:spacing w:line="360" w:lineRule="auto"/>
        <w:ind w:left="0" w:firstLine="0"/>
        <w:jc w:val="left"/>
        <w:rPr>
          <w:rFonts w:ascii="Times New Roman" w:hAnsi="Times New Roman" w:cs="Times New Roman"/>
          <w:bCs/>
          <w:kern w:val="44"/>
          <w:szCs w:val="21"/>
        </w:rPr>
      </w:pPr>
      <w:bookmarkStart w:id="3" w:name="OLE_LINK6"/>
      <w:r>
        <w:rPr>
          <w:rFonts w:ascii="Times New Roman" w:hAnsi="Times New Roman" w:cs="Times New Roman"/>
          <w:bCs/>
          <w:kern w:val="44"/>
          <w:szCs w:val="21"/>
        </w:rPr>
        <w:t>旋开废液桶上盖，将废液倒入废液回收容器，加入200ml次氯酸原液。Unscrew the lid of the waste tank, and empty waste liquid. If necessary, add 200ml of hypochlorous acid.</w:t>
      </w:r>
    </w:p>
    <w:bookmarkEnd w:id="3"/>
    <w:p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bCs/>
          <w:kern w:val="44"/>
          <w:szCs w:val="21"/>
        </w:rPr>
      </w:pPr>
      <w:r>
        <w:rPr>
          <w:rFonts w:ascii="Times New Roman" w:hAnsi="Times New Roman" w:cs="Times New Roman"/>
          <w:bCs/>
          <w:kern w:val="44"/>
          <w:szCs w:val="21"/>
        </w:rPr>
        <w:t xml:space="preserve">打开仪器总电源Turn on the main power </w:t>
      </w:r>
    </w:p>
    <w:p>
      <w:pPr>
        <w:numPr>
          <w:ilvl w:val="0"/>
          <w:numId w:val="3"/>
        </w:numPr>
        <w:tabs>
          <w:tab w:val="left" w:pos="220"/>
        </w:tabs>
        <w:spacing w:line="360" w:lineRule="auto"/>
        <w:ind w:left="0" w:firstLine="0"/>
        <w:jc w:val="left"/>
        <w:rPr>
          <w:rFonts w:ascii="Times New Roman" w:hAnsi="Times New Roman" w:cs="Times New Roman"/>
          <w:bCs/>
          <w:szCs w:val="21"/>
        </w:rPr>
      </w:pPr>
      <w:bookmarkStart w:id="4" w:name="OLE_LINK7"/>
      <w:r>
        <w:rPr>
          <w:rFonts w:ascii="Times New Roman" w:hAnsi="Times New Roman" w:cs="Times New Roman"/>
          <w:bCs/>
          <w:kern w:val="44"/>
          <w:szCs w:val="21"/>
        </w:rPr>
        <w:t>请按NovoCyte流式细胞仪面板上的电源按钮</w:t>
      </w:r>
      <w:bookmarkEnd w:id="4"/>
      <w:r>
        <w:rPr>
          <w:rFonts w:ascii="Times New Roman" w:hAnsi="Times New Roman" w:cs="Times New Roman"/>
          <w:bCs/>
          <w:kern w:val="44"/>
          <w:szCs w:val="21"/>
        </w:rPr>
        <w:t>，</w:t>
      </w:r>
      <w:bookmarkStart w:id="5" w:name="OLE_LINK8"/>
      <w:r>
        <w:rPr>
          <w:rFonts w:ascii="Times New Roman" w:hAnsi="Times New Roman" w:cs="Times New Roman"/>
          <w:bCs/>
          <w:kern w:val="44"/>
          <w:szCs w:val="21"/>
        </w:rPr>
        <w:t>此时电源按钮显示为绿色，表示仪器进入开机初始化流程。</w:t>
      </w:r>
      <w:bookmarkEnd w:id="5"/>
      <w:r>
        <w:rPr>
          <w:rFonts w:ascii="Times New Roman" w:hAnsi="Times New Roman" w:cs="Times New Roman"/>
          <w:bCs/>
          <w:szCs w:val="21"/>
        </w:rPr>
        <w:t>Press the power button on the NovoCyte flow cytometer panel, and then the button is displayed in green, indicating that the instrument enters the initialization process.</w:t>
      </w:r>
    </w:p>
    <w:p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bCs/>
          <w:kern w:val="44"/>
          <w:szCs w:val="21"/>
        </w:rPr>
      </w:pPr>
      <w:r>
        <w:rPr>
          <w:rFonts w:ascii="Times New Roman" w:hAnsi="Times New Roman" w:cs="Times New Roman"/>
          <w:bCs/>
          <w:kern w:val="44"/>
          <w:szCs w:val="21"/>
        </w:rPr>
        <w:t>开启电脑，运行桌面</w:t>
      </w:r>
      <w:bookmarkStart w:id="6" w:name="OLE_LINK2"/>
      <w:r>
        <w:rPr>
          <w:rFonts w:ascii="Times New Roman" w:hAnsi="Times New Roman" w:cs="Times New Roman"/>
          <w:bCs/>
          <w:kern w:val="44"/>
          <w:szCs w:val="21"/>
        </w:rPr>
        <w:t>“NovoExpress”</w:t>
      </w:r>
      <w:bookmarkEnd w:id="6"/>
      <w:r>
        <w:rPr>
          <w:rFonts w:ascii="Times New Roman" w:hAnsi="Times New Roman" w:cs="Times New Roman"/>
          <w:bCs/>
          <w:kern w:val="44"/>
          <w:szCs w:val="21"/>
        </w:rPr>
        <w:t>软件Turn on the computer, and click “NovoExpress”on the desktop</w:t>
      </w:r>
    </w:p>
    <w:p>
      <w:pPr>
        <w:numPr>
          <w:ilvl w:val="0"/>
          <w:numId w:val="3"/>
        </w:numPr>
        <w:tabs>
          <w:tab w:val="left" w:pos="0"/>
        </w:tabs>
        <w:spacing w:line="360" w:lineRule="auto"/>
        <w:ind w:left="220" w:hanging="220"/>
        <w:jc w:val="left"/>
        <w:rPr>
          <w:rFonts w:ascii="Times New Roman" w:hAnsi="Times New Roman" w:cs="Times New Roman"/>
          <w:bCs/>
          <w:szCs w:val="21"/>
        </w:rPr>
      </w:pPr>
      <w:bookmarkStart w:id="7" w:name="OLE_LINK9"/>
      <w:r>
        <w:rPr>
          <w:rFonts w:ascii="Times New Roman" w:hAnsi="Times New Roman" w:cs="Times New Roman"/>
          <w:bCs/>
          <w:kern w:val="44"/>
          <w:szCs w:val="21"/>
        </w:rPr>
        <w:t>软件界面左下角状态栏显示绿色图标“</w:t>
      </w:r>
      <w:r>
        <w:rPr>
          <w:rFonts w:ascii="Times New Roman" w:hAnsi="Times New Roman" w:cs="Times New Roman"/>
          <w:bCs/>
          <w:kern w:val="44"/>
          <w:szCs w:val="21"/>
        </w:rPr>
        <w:drawing>
          <wp:inline distT="0" distB="0" distL="114300" distR="114300">
            <wp:extent cx="127635" cy="123825"/>
            <wp:effectExtent l="0" t="0" r="571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kern w:val="44"/>
          <w:szCs w:val="21"/>
        </w:rPr>
        <w:t>”，表示仪器连接正常。</w:t>
      </w:r>
      <w:r>
        <w:rPr>
          <w:rFonts w:ascii="Times New Roman" w:hAnsi="Times New Roman" w:eastAsia="宋体" w:cs="Times New Roman"/>
          <w:bCs/>
          <w:szCs w:val="21"/>
        </w:rPr>
        <w:t>A green icon "</w:t>
      </w:r>
      <w:r>
        <w:rPr>
          <w:rFonts w:ascii="Times New Roman" w:hAnsi="Times New Roman" w:cs="Times New Roman"/>
          <w:bCs/>
          <w:szCs w:val="21"/>
        </w:rPr>
        <w:drawing>
          <wp:inline distT="0" distB="0" distL="114300" distR="114300">
            <wp:extent cx="127635" cy="123825"/>
            <wp:effectExtent l="0" t="0" r="571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Cs w:val="21"/>
        </w:rPr>
        <w:t>" is displayed in the status bar in the lower left corner of the software interface, indicating that the instrument is connected normally.</w:t>
      </w:r>
    </w:p>
    <w:bookmarkEnd w:id="7"/>
    <w:p>
      <w:pPr>
        <w:numPr>
          <w:ilvl w:val="0"/>
          <w:numId w:val="3"/>
        </w:numPr>
        <w:tabs>
          <w:tab w:val="left" w:pos="0"/>
        </w:tabs>
        <w:spacing w:line="360" w:lineRule="auto"/>
        <w:ind w:left="220" w:hanging="220"/>
        <w:jc w:val="left"/>
        <w:rPr>
          <w:rFonts w:ascii="Times New Roman" w:hAnsi="Times New Roman" w:cs="Times New Roman"/>
          <w:bCs/>
          <w:szCs w:val="21"/>
        </w:rPr>
      </w:pPr>
      <w:bookmarkStart w:id="8" w:name="OLE_LINK10"/>
      <w:r>
        <w:rPr>
          <w:rFonts w:ascii="Times New Roman" w:hAnsi="Times New Roman" w:cs="Times New Roman"/>
          <w:bCs/>
          <w:kern w:val="44"/>
          <w:szCs w:val="21"/>
        </w:rPr>
        <w:t>状态栏显示就绪状态“</w:t>
      </w:r>
      <w:r>
        <w:rPr>
          <w:rFonts w:ascii="Times New Roman" w:hAnsi="Times New Roman" w:cs="Times New Roman"/>
          <w:bCs/>
          <w:kern w:val="44"/>
          <w:szCs w:val="21"/>
        </w:rPr>
        <w:drawing>
          <wp:inline distT="0" distB="0" distL="114300" distR="114300">
            <wp:extent cx="467360" cy="140335"/>
            <wp:effectExtent l="0" t="0" r="8890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kern w:val="44"/>
          <w:szCs w:val="21"/>
        </w:rPr>
        <w:t>” ，表明仪器已完成初始化。</w:t>
      </w:r>
      <w:r>
        <w:rPr>
          <w:rFonts w:ascii="Times New Roman" w:hAnsi="Times New Roman" w:cs="Times New Roman"/>
          <w:bCs/>
          <w:szCs w:val="21"/>
        </w:rPr>
        <w:t>The status bar shows the “Ready” status“</w:t>
      </w:r>
      <w:r>
        <w:rPr>
          <w:rFonts w:ascii="Times New Roman" w:hAnsi="Times New Roman" w:cs="Times New Roman"/>
          <w:bCs/>
          <w:szCs w:val="21"/>
        </w:rPr>
        <w:drawing>
          <wp:inline distT="0" distB="0" distL="114300" distR="114300">
            <wp:extent cx="467360" cy="140335"/>
            <wp:effectExtent l="0" t="0" r="889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Cs w:val="21"/>
        </w:rPr>
        <w:t>” , indicating that the instrument has completed initialization.</w:t>
      </w:r>
    </w:p>
    <w:bookmarkEnd w:id="8"/>
    <w:p>
      <w:pPr>
        <w:snapToGrid w:val="0"/>
        <w:spacing w:before="93" w:beforeLines="30" w:line="360" w:lineRule="auto"/>
        <w:rPr>
          <w:rFonts w:ascii="Times New Roman" w:hAnsi="Times New Roman" w:cs="Times New Roman"/>
          <w:b/>
          <w:kern w:val="44"/>
          <w:szCs w:val="21"/>
        </w:rPr>
      </w:pPr>
      <w:r>
        <w:rPr>
          <w:rFonts w:ascii="Times New Roman" w:hAnsi="Times New Roman" w:cs="Times New Roman"/>
          <w:b/>
          <w:kern w:val="44"/>
          <w:szCs w:val="21"/>
        </w:rPr>
        <w:t>三、关机程序Shutdown program</w:t>
      </w:r>
    </w:p>
    <w:p>
      <w:pPr>
        <w:numPr>
          <w:ilvl w:val="0"/>
          <w:numId w:val="4"/>
        </w:numPr>
        <w:tabs>
          <w:tab w:val="left" w:pos="220"/>
        </w:tabs>
        <w:snapToGrid w:val="0"/>
        <w:spacing w:line="360" w:lineRule="auto"/>
        <w:jc w:val="left"/>
        <w:rPr>
          <w:rFonts w:ascii="Times New Roman" w:hAnsi="Times New Roman" w:cs="Times New Roman"/>
          <w:bCs/>
          <w:szCs w:val="21"/>
        </w:rPr>
      </w:pPr>
      <w:bookmarkStart w:id="9" w:name="OLE_LINK11"/>
      <w:r>
        <w:rPr>
          <w:rFonts w:ascii="Times New Roman" w:hAnsi="Times New Roman" w:cs="Times New Roman"/>
          <w:bCs/>
          <w:kern w:val="44"/>
          <w:szCs w:val="21"/>
        </w:rPr>
        <w:t>退出“NovoExpress”软件，执行电脑关机程序</w:t>
      </w:r>
      <w:r>
        <w:rPr>
          <w:rFonts w:ascii="Times New Roman" w:hAnsi="Times New Roman" w:cs="Times New Roman"/>
          <w:bCs/>
          <w:szCs w:val="21"/>
        </w:rPr>
        <w:t>。</w:t>
      </w:r>
      <w:r>
        <w:rPr>
          <w:rFonts w:ascii="Times New Roman" w:hAnsi="Times New Roman" w:eastAsia="宋体" w:cs="Times New Roman"/>
          <w:bCs/>
          <w:szCs w:val="21"/>
        </w:rPr>
        <w:t>Exit the "NovoExpress" software and execute the computer shutdown procedure.</w:t>
      </w:r>
    </w:p>
    <w:bookmarkEnd w:id="9"/>
    <w:p>
      <w:pPr>
        <w:numPr>
          <w:ilvl w:val="0"/>
          <w:numId w:val="4"/>
        </w:numPr>
        <w:tabs>
          <w:tab w:val="left" w:pos="220"/>
        </w:tabs>
        <w:spacing w:line="360" w:lineRule="auto"/>
        <w:jc w:val="left"/>
        <w:rPr>
          <w:rFonts w:ascii="Times New Roman" w:hAnsi="Times New Roman" w:cs="Times New Roman"/>
          <w:bCs/>
          <w:szCs w:val="21"/>
        </w:rPr>
      </w:pPr>
      <w:bookmarkStart w:id="10" w:name="OLE_LINK12"/>
      <w:r>
        <w:rPr>
          <w:rFonts w:ascii="Times New Roman" w:hAnsi="Times New Roman" w:cs="Times New Roman"/>
          <w:bCs/>
          <w:szCs w:val="21"/>
        </w:rPr>
        <w:t>按下NovoCyte流式细胞仪前面板上的电源按钮，主机自动关闭</w:t>
      </w:r>
      <w:r>
        <w:rPr>
          <w:rFonts w:ascii="Times New Roman" w:hAnsi="Times New Roman" w:eastAsia="仿宋" w:cs="Times New Roman"/>
          <w:bCs/>
          <w:szCs w:val="21"/>
        </w:rPr>
        <w:t>。Press the power button on the front panel of the NovoCyte flow cytometer and the host will automatically shut down.</w:t>
      </w:r>
    </w:p>
    <w:bookmarkEnd w:id="10"/>
    <w:p>
      <w:pPr>
        <w:snapToGrid w:val="0"/>
        <w:spacing w:before="93" w:beforeLines="30" w:line="360" w:lineRule="auto"/>
        <w:rPr>
          <w:rFonts w:ascii="Times New Roman" w:hAnsi="Times New Roman" w:cs="Times New Roman"/>
          <w:b/>
          <w:kern w:val="44"/>
          <w:szCs w:val="21"/>
        </w:rPr>
      </w:pPr>
      <w:r>
        <w:rPr>
          <w:rFonts w:ascii="Times New Roman" w:hAnsi="Times New Roman" w:cs="Times New Roman"/>
          <w:b/>
          <w:kern w:val="44"/>
          <w:szCs w:val="21"/>
        </w:rPr>
        <w:t>四、系统维护System Maintenance</w:t>
      </w:r>
    </w:p>
    <w:p>
      <w:pPr>
        <w:numPr>
          <w:ilvl w:val="0"/>
          <w:numId w:val="5"/>
        </w:numPr>
        <w:snapToGrid w:val="0"/>
        <w:spacing w:before="93" w:beforeLines="30" w:line="360" w:lineRule="auto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定期维护Scheduled Maintenance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3"/>
        <w:gridCol w:w="4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3" w:type="dxa"/>
          </w:tcPr>
          <w:p>
            <w:pPr>
              <w:snapToGrid w:val="0"/>
              <w:spacing w:before="93" w:beforeLines="30" w:line="360" w:lineRule="auto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Maintenance</w:t>
            </w:r>
          </w:p>
        </w:tc>
        <w:tc>
          <w:tcPr>
            <w:tcW w:w="4619" w:type="dxa"/>
          </w:tcPr>
          <w:p>
            <w:pPr>
              <w:snapToGrid w:val="0"/>
              <w:spacing w:before="93" w:beforeLines="30" w:line="360" w:lineRule="auto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Recommended Maintenance Frequency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3" w:type="dxa"/>
          </w:tcPr>
          <w:p>
            <w:pPr>
              <w:tabs>
                <w:tab w:val="left" w:pos="220"/>
              </w:tabs>
              <w:spacing w:line="360" w:lineRule="auto"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Daily Start-up</w:t>
            </w:r>
          </w:p>
        </w:tc>
        <w:tc>
          <w:tcPr>
            <w:tcW w:w="4619" w:type="dxa"/>
          </w:tcPr>
          <w:p>
            <w:pPr>
              <w:tabs>
                <w:tab w:val="left" w:pos="220"/>
              </w:tabs>
              <w:spacing w:line="360" w:lineRule="auto"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 xml:space="preserve">Daily. Automatic system cleaning during startup.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3" w:type="dxa"/>
          </w:tcPr>
          <w:p>
            <w:pPr>
              <w:tabs>
                <w:tab w:val="left" w:pos="220"/>
              </w:tabs>
              <w:spacing w:line="360" w:lineRule="auto"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Daily Shutdown</w:t>
            </w:r>
          </w:p>
        </w:tc>
        <w:tc>
          <w:tcPr>
            <w:tcW w:w="4619" w:type="dxa"/>
          </w:tcPr>
          <w:p>
            <w:pPr>
              <w:tabs>
                <w:tab w:val="left" w:pos="220"/>
              </w:tabs>
              <w:spacing w:line="360" w:lineRule="auto"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 xml:space="preserve">Daily. Automatic system cleaning and decontamination during shutdown.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3" w:type="dxa"/>
          </w:tcPr>
          <w:p>
            <w:pPr>
              <w:tabs>
                <w:tab w:val="left" w:pos="220"/>
              </w:tabs>
              <w:spacing w:line="360" w:lineRule="auto"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 xml:space="preserve">Add instrument reagents (ACEA </w:t>
            </w:r>
          </w:p>
          <w:p>
            <w:pPr>
              <w:tabs>
                <w:tab w:val="left" w:pos="220"/>
              </w:tabs>
              <w:spacing w:line="360" w:lineRule="auto"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NovoFlow sheath fluid, ACEA Novo</w:t>
            </w:r>
          </w:p>
          <w:p>
            <w:pPr>
              <w:tabs>
                <w:tab w:val="left" w:pos="220"/>
              </w:tabs>
              <w:spacing w:line="360" w:lineRule="auto"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 xml:space="preserve">Rinse solution, and ACEA NovoClean </w:t>
            </w:r>
          </w:p>
          <w:p>
            <w:pPr>
              <w:tabs>
                <w:tab w:val="left" w:pos="220"/>
              </w:tabs>
              <w:spacing w:line="360" w:lineRule="auto"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solution)</w:t>
            </w:r>
          </w:p>
        </w:tc>
        <w:tc>
          <w:tcPr>
            <w:tcW w:w="4619" w:type="dxa"/>
          </w:tcPr>
          <w:p>
            <w:pPr>
              <w:tabs>
                <w:tab w:val="left" w:pos="220"/>
              </w:tabs>
              <w:spacing w:line="360" w:lineRule="auto"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As needed. Check the instrument reagent volume in the containers before each experiment and add more reagents when necessary.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3" w:type="dxa"/>
          </w:tcPr>
          <w:p>
            <w:pPr>
              <w:tabs>
                <w:tab w:val="left" w:pos="220"/>
              </w:tabs>
              <w:spacing w:line="360" w:lineRule="auto"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Empty Waste</w:t>
            </w:r>
          </w:p>
        </w:tc>
        <w:tc>
          <w:tcPr>
            <w:tcW w:w="4619" w:type="dxa"/>
          </w:tcPr>
          <w:p>
            <w:pPr>
              <w:tabs>
                <w:tab w:val="left" w:pos="220"/>
              </w:tabs>
              <w:spacing w:line="360" w:lineRule="auto"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 xml:space="preserve">As needed. Check waste volume before each experiment and empty waste container.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3" w:type="dxa"/>
          </w:tcPr>
          <w:p>
            <w:pPr>
              <w:tabs>
                <w:tab w:val="left" w:pos="220"/>
              </w:tabs>
              <w:spacing w:line="360" w:lineRule="auto"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Preventive Maintenance</w:t>
            </w:r>
          </w:p>
          <w:p>
            <w:pPr>
              <w:tabs>
                <w:tab w:val="left" w:pos="220"/>
              </w:tabs>
              <w:spacing w:line="360" w:lineRule="auto"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 xml:space="preserve">► Clean the sample injection probe </w:t>
            </w:r>
          </w:p>
          <w:p>
            <w:pPr>
              <w:tabs>
                <w:tab w:val="left" w:pos="220"/>
              </w:tabs>
              <w:spacing w:line="360" w:lineRule="auto"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(SIP)</w:t>
            </w:r>
          </w:p>
          <w:p>
            <w:pPr>
              <w:tabs>
                <w:tab w:val="left" w:pos="220"/>
              </w:tabs>
              <w:spacing w:line="360" w:lineRule="auto"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► Clean the SIP cleaning apparatus</w:t>
            </w:r>
          </w:p>
          <w:p>
            <w:pPr>
              <w:tabs>
                <w:tab w:val="left" w:pos="220"/>
              </w:tabs>
              <w:spacing w:line="360" w:lineRule="auto"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 xml:space="preserve">► Conduct Extensive Rinse </w:t>
            </w:r>
          </w:p>
          <w:p>
            <w:pPr>
              <w:tabs>
                <w:tab w:val="left" w:pos="220"/>
              </w:tabs>
              <w:spacing w:line="360" w:lineRule="auto"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► Unclog the flow cell</w:t>
            </w:r>
          </w:p>
          <w:p>
            <w:pPr>
              <w:tabs>
                <w:tab w:val="left" w:pos="220"/>
              </w:tabs>
              <w:spacing w:line="360" w:lineRule="auto"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 xml:space="preserve">► Sterilize instrument reagent </w:t>
            </w:r>
          </w:p>
          <w:p>
            <w:pPr>
              <w:tabs>
                <w:tab w:val="left" w:pos="220"/>
              </w:tabs>
              <w:spacing w:line="360" w:lineRule="auto"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containers</w:t>
            </w:r>
          </w:p>
        </w:tc>
        <w:tc>
          <w:tcPr>
            <w:tcW w:w="4619" w:type="dxa"/>
          </w:tcPr>
          <w:p>
            <w:pPr>
              <w:tabs>
                <w:tab w:val="left" w:pos="220"/>
              </w:tabs>
              <w:spacing w:line="360" w:lineRule="auto"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Every month.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3" w:type="dxa"/>
          </w:tcPr>
          <w:p>
            <w:pPr>
              <w:tabs>
                <w:tab w:val="left" w:pos="220"/>
              </w:tabs>
              <w:spacing w:line="360" w:lineRule="auto"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Replace Fluidic System Consumables</w:t>
            </w:r>
          </w:p>
        </w:tc>
        <w:tc>
          <w:tcPr>
            <w:tcW w:w="4619" w:type="dxa"/>
          </w:tcPr>
          <w:p>
            <w:pPr>
              <w:tabs>
                <w:tab w:val="left" w:pos="220"/>
              </w:tabs>
              <w:spacing w:line="360" w:lineRule="auto"/>
              <w:jc w:val="left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Every two months or when prompted by NovoExpress Software.</w:t>
            </w:r>
          </w:p>
        </w:tc>
      </w:tr>
    </w:tbl>
    <w:p>
      <w:pPr>
        <w:snapToGrid w:val="0"/>
        <w:spacing w:before="93" w:beforeLines="30" w:line="360" w:lineRule="auto"/>
        <w:rPr>
          <w:rFonts w:ascii="Times New Roman" w:hAnsi="Times New Roman" w:cs="Times New Roman"/>
          <w:bCs/>
          <w:szCs w:val="21"/>
        </w:rPr>
      </w:pPr>
    </w:p>
    <w:p>
      <w:pPr>
        <w:snapToGrid w:val="0"/>
        <w:spacing w:before="93" w:beforeLines="30" w:line="360" w:lineRule="auto"/>
        <w:rPr>
          <w:rFonts w:hint="eastAsia" w:ascii="Times New Roman" w:hAnsi="Times New Roman" w:cs="Times New Roman"/>
          <w:bCs/>
          <w:szCs w:val="21"/>
        </w:rPr>
      </w:pPr>
    </w:p>
    <w:p>
      <w:pPr>
        <w:snapToGrid w:val="0"/>
        <w:spacing w:before="93" w:beforeLines="30" w:line="360" w:lineRule="auto"/>
        <w:rPr>
          <w:rFonts w:hint="eastAsia" w:ascii="Times New Roman" w:hAnsi="Times New Roman" w:cs="Times New Roman"/>
          <w:bCs/>
          <w:szCs w:val="21"/>
        </w:rPr>
      </w:pPr>
    </w:p>
    <w:p>
      <w:pPr>
        <w:snapToGrid w:val="0"/>
        <w:spacing w:before="93" w:beforeLines="30" w:line="360" w:lineRule="auto"/>
        <w:rPr>
          <w:rFonts w:hint="eastAsia" w:ascii="Times New Roman" w:hAnsi="Times New Roman" w:cs="Times New Roman"/>
          <w:bCs/>
          <w:szCs w:val="21"/>
        </w:rPr>
      </w:pPr>
    </w:p>
    <w:p>
      <w:pPr>
        <w:snapToGrid w:val="0"/>
        <w:spacing w:before="93" w:beforeLines="30" w:line="360" w:lineRule="auto"/>
        <w:rPr>
          <w:rFonts w:hint="eastAsia" w:ascii="Times New Roman" w:hAnsi="Times New Roman" w:cs="Times New Roman"/>
          <w:bCs/>
          <w:szCs w:val="21"/>
        </w:rPr>
      </w:pPr>
    </w:p>
    <w:p>
      <w:pPr>
        <w:numPr>
          <w:ilvl w:val="0"/>
          <w:numId w:val="5"/>
        </w:numPr>
        <w:snapToGrid w:val="0"/>
        <w:spacing w:before="93" w:beforeLines="30" w:line="360" w:lineRule="auto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不定期维护Unscheduled Maintenance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1"/>
        <w:gridCol w:w="5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1" w:type="dxa"/>
          </w:tcPr>
          <w:p>
            <w:pPr>
              <w:snapToGrid w:val="0"/>
              <w:spacing w:before="93" w:beforeLines="30"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Unscheduled Maintenance</w:t>
            </w:r>
          </w:p>
        </w:tc>
        <w:tc>
          <w:tcPr>
            <w:tcW w:w="5191" w:type="dxa"/>
          </w:tcPr>
          <w:p>
            <w:pPr>
              <w:snapToGrid w:val="0"/>
              <w:spacing w:before="93" w:beforeLines="30"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When to Perform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1" w:type="dxa"/>
          </w:tcPr>
          <w:p>
            <w:pPr>
              <w:snapToGrid w:val="0"/>
              <w:spacing w:before="93" w:beforeLines="30"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 xml:space="preserve">Remove Bubbles </w:t>
            </w:r>
          </w:p>
        </w:tc>
        <w:tc>
          <w:tcPr>
            <w:tcW w:w="5191" w:type="dxa"/>
          </w:tcPr>
          <w:p>
            <w:pPr>
              <w:snapToGrid w:val="0"/>
              <w:spacing w:before="93" w:beforeLines="30"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The CV of the data is larger than normal; QC test failed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1" w:type="dxa"/>
          </w:tcPr>
          <w:p>
            <w:pPr>
              <w:snapToGrid w:val="0"/>
              <w:spacing w:before="93" w:beforeLines="30"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 xml:space="preserve">Unclog the Sample Injection Probe </w:t>
            </w:r>
          </w:p>
          <w:p>
            <w:pPr>
              <w:snapToGrid w:val="0"/>
              <w:spacing w:before="93" w:beforeLines="30"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(SIP)</w:t>
            </w:r>
          </w:p>
        </w:tc>
        <w:tc>
          <w:tcPr>
            <w:tcW w:w="5191" w:type="dxa"/>
          </w:tcPr>
          <w:p>
            <w:pPr>
              <w:snapToGrid w:val="0"/>
              <w:spacing w:before="93" w:beforeLines="30"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Much less amount of events are detected than expected; Perform a large amount of tests in one 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1" w:type="dxa"/>
          </w:tcPr>
          <w:p>
            <w:pPr>
              <w:snapToGrid w:val="0"/>
              <w:spacing w:before="93" w:beforeLines="30"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Clean the External Surface of the Instrument</w:t>
            </w:r>
          </w:p>
        </w:tc>
        <w:tc>
          <w:tcPr>
            <w:tcW w:w="5191" w:type="dxa"/>
          </w:tcPr>
          <w:p>
            <w:pPr>
              <w:snapToGrid w:val="0"/>
              <w:spacing w:before="93" w:beforeLines="30"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Keep the external surface of the instrument clean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1" w:type="dxa"/>
          </w:tcPr>
          <w:p>
            <w:pPr>
              <w:snapToGrid w:val="0"/>
              <w:spacing w:before="93" w:beforeLines="30"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 xml:space="preserve">Clean the Sample Injection Probe </w:t>
            </w:r>
          </w:p>
          <w:p>
            <w:pPr>
              <w:snapToGrid w:val="0"/>
              <w:spacing w:before="93" w:beforeLines="30"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(SIP)</w:t>
            </w:r>
          </w:p>
        </w:tc>
        <w:tc>
          <w:tcPr>
            <w:tcW w:w="5191" w:type="dxa"/>
          </w:tcPr>
          <w:p>
            <w:pPr>
              <w:snapToGrid w:val="0"/>
              <w:spacing w:before="93" w:beforeLines="30"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The sample injection probe’s outer surface is dirty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1" w:type="dxa"/>
          </w:tcPr>
          <w:p>
            <w:pPr>
              <w:snapToGrid w:val="0"/>
              <w:spacing w:before="93" w:beforeLines="30"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Decontamination</w:t>
            </w:r>
          </w:p>
        </w:tc>
        <w:tc>
          <w:tcPr>
            <w:tcW w:w="5191" w:type="dxa"/>
          </w:tcPr>
          <w:p>
            <w:pPr>
              <w:snapToGrid w:val="0"/>
              <w:spacing w:before="93" w:beforeLines="30"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When suspecting bacteria contamination in the system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1" w:type="dxa"/>
          </w:tcPr>
          <w:p>
            <w:pPr>
              <w:snapToGrid w:val="0"/>
              <w:spacing w:before="93" w:beforeLines="30"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Clean Fluidic System before LongTerm Storage</w:t>
            </w:r>
          </w:p>
        </w:tc>
        <w:tc>
          <w:tcPr>
            <w:tcW w:w="5191" w:type="dxa"/>
          </w:tcPr>
          <w:p>
            <w:pPr>
              <w:snapToGrid w:val="0"/>
              <w:spacing w:before="93" w:beforeLines="30"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No plan to run the NovoCyte cytometer for more than two weeks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1" w:type="dxa"/>
          </w:tcPr>
          <w:p>
            <w:pPr>
              <w:snapToGrid w:val="0"/>
              <w:spacing w:before="93" w:beforeLines="30"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Purge Fluidic System before Shipment</w:t>
            </w:r>
          </w:p>
        </w:tc>
        <w:tc>
          <w:tcPr>
            <w:tcW w:w="5191" w:type="dxa"/>
          </w:tcPr>
          <w:p>
            <w:pPr>
              <w:snapToGrid w:val="0"/>
              <w:spacing w:before="93" w:beforeLines="30"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The NovoCyte flow cytometer needs to be shipped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1" w:type="dxa"/>
          </w:tcPr>
          <w:p>
            <w:pPr>
              <w:snapToGrid w:val="0"/>
              <w:spacing w:before="93" w:beforeLines="30"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Calibrate the Fluidics Station</w:t>
            </w:r>
          </w:p>
        </w:tc>
        <w:tc>
          <w:tcPr>
            <w:tcW w:w="5191" w:type="dxa"/>
          </w:tcPr>
          <w:p>
            <w:pPr>
              <w:snapToGrid w:val="0"/>
              <w:spacing w:before="93" w:beforeLines="30"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Abnormal warning about the liquid level in the reagent containers is observed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1" w:type="dxa"/>
          </w:tcPr>
          <w:p>
            <w:pPr>
              <w:snapToGrid w:val="0"/>
              <w:spacing w:before="93" w:beforeLines="30"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 xml:space="preserve">Clean the Optical Filters and Mirrors </w:t>
            </w:r>
          </w:p>
        </w:tc>
        <w:tc>
          <w:tcPr>
            <w:tcW w:w="5191" w:type="dxa"/>
          </w:tcPr>
          <w:p>
            <w:pPr>
              <w:snapToGrid w:val="0"/>
              <w:spacing w:before="93" w:beforeLines="30"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The optical filters and mirrors get dirty</w:t>
            </w:r>
          </w:p>
        </w:tc>
      </w:tr>
    </w:tbl>
    <w:p>
      <w:pPr>
        <w:snapToGrid w:val="0"/>
        <w:spacing w:before="93" w:beforeLines="30" w:line="360" w:lineRule="auto"/>
        <w:rPr>
          <w:rFonts w:ascii="Times New Roman" w:hAnsi="Times New Roman" w:cs="Times New Roman"/>
          <w:b/>
          <w:kern w:val="44"/>
          <w:szCs w:val="21"/>
        </w:rPr>
      </w:pPr>
      <w:r>
        <w:rPr>
          <w:rFonts w:ascii="Times New Roman" w:hAnsi="Times New Roman" w:cs="Times New Roman"/>
          <w:b/>
          <w:kern w:val="44"/>
          <w:szCs w:val="21"/>
        </w:rPr>
        <w:t>五、注意事项Notifications</w:t>
      </w:r>
    </w:p>
    <w:p>
      <w:pPr>
        <w:spacing w:line="360" w:lineRule="auto"/>
        <w:ind w:left="-7" w:firstLine="7"/>
        <w:jc w:val="left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 xml:space="preserve">1. 请务必做好仪器清洗工作，点击仪器菜单下方的清洗，按提示执行。建议在“NovoExpress”软件界面选择“采样后冲洗”。Please remember to clean the instrument after using, click “Instrument”→“Clean” in the menu bar, or tick the bar “Rinse after sampling”.  </w:t>
      </w:r>
    </w:p>
    <w:p>
      <w:pPr>
        <w:spacing w:line="360" w:lineRule="auto"/>
        <w:ind w:left="-7" w:firstLine="7"/>
        <w:jc w:val="left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 xml:space="preserve">2. 请当天最后一位使用该仪器的师生检测完毕后，检查储液台各容器状态，确保一切正常。轻按仪器前面板电源键关机，仪器自动进入关机程序，此时需等待约15min，请勿离开。Last user of the day is supposed to showdown the system, and make sure the instrument is fine before leaving. </w:t>
      </w:r>
    </w:p>
    <w:p>
      <w:pPr>
        <w:spacing w:line="360" w:lineRule="auto"/>
        <w:ind w:left="-7" w:firstLine="7"/>
        <w:jc w:val="left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3. 仪器预约：参见《浙江大学爱丁堡大学联合学院公共技术平台流式细胞分析</w:t>
      </w:r>
      <w:r>
        <w:rPr>
          <w:rFonts w:hint="eastAsia" w:ascii="Times New Roman" w:hAnsi="Times New Roman" w:cs="Times New Roman"/>
          <w:bCs/>
          <w:szCs w:val="21"/>
          <w:lang w:val="en-US" w:eastAsia="zh-CN"/>
        </w:rPr>
        <w:t>服务用户需知</w:t>
      </w:r>
      <w:r>
        <w:rPr>
          <w:rFonts w:ascii="Times New Roman" w:hAnsi="Times New Roman" w:cs="Times New Roman"/>
          <w:bCs/>
          <w:szCs w:val="21"/>
        </w:rPr>
        <w:t>》有关内容。If you want to know how to appoint the instrument, please refer to the document</w:t>
      </w:r>
      <w:r>
        <w:rPr>
          <w:rFonts w:hint="eastAsia" w:ascii="Times New Roman" w:hAnsi="Times New Roman" w:cs="Times New Roman"/>
          <w:bCs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bCs/>
          <w:i/>
          <w:iCs/>
          <w:szCs w:val="21"/>
        </w:rPr>
        <w:t xml:space="preserve">Guidelines for </w:t>
      </w:r>
      <w:r>
        <w:rPr>
          <w:rFonts w:hint="eastAsia" w:ascii="Times New Roman" w:hAnsi="Times New Roman" w:cs="Times New Roman"/>
          <w:bCs/>
          <w:i/>
          <w:iCs/>
          <w:szCs w:val="21"/>
          <w:lang w:val="en-US" w:eastAsia="zh-CN"/>
        </w:rPr>
        <w:t>Using the</w:t>
      </w:r>
      <w:r>
        <w:rPr>
          <w:rFonts w:ascii="Times New Roman" w:hAnsi="Times New Roman" w:cs="Times New Roman"/>
          <w:bCs/>
          <w:i/>
          <w:iCs/>
          <w:szCs w:val="21"/>
        </w:rPr>
        <w:t xml:space="preserve"> Flow Cytometer </w:t>
      </w:r>
      <w:r>
        <w:rPr>
          <w:rFonts w:hint="eastAsia" w:ascii="Times New Roman" w:hAnsi="Times New Roman" w:cs="Times New Roman"/>
          <w:bCs/>
          <w:i/>
          <w:iCs/>
          <w:szCs w:val="21"/>
          <w:lang w:val="en-US" w:eastAsia="zh-CN"/>
        </w:rPr>
        <w:t xml:space="preserve">of </w:t>
      </w:r>
      <w:r>
        <w:rPr>
          <w:rFonts w:ascii="Times New Roman" w:hAnsi="Times New Roman" w:cs="Times New Roman"/>
          <w:bCs/>
          <w:i/>
          <w:iCs/>
          <w:szCs w:val="21"/>
        </w:rPr>
        <w:t>ZJE-UoE</w:t>
      </w:r>
      <w:r>
        <w:rPr>
          <w:rFonts w:hint="eastAsia" w:ascii="Times New Roman" w:hAnsi="Times New Roman" w:cs="Times New Roman"/>
          <w:bCs/>
          <w:i/>
          <w:iCs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bCs/>
          <w:i/>
          <w:iCs/>
          <w:szCs w:val="21"/>
        </w:rPr>
        <w:t>Core Facility</w:t>
      </w:r>
      <w:r>
        <w:rPr>
          <w:rFonts w:ascii="Times New Roman" w:hAnsi="Times New Roman" w:cs="Times New Roman"/>
          <w:bCs/>
          <w:szCs w:val="21"/>
        </w:rPr>
        <w:t>.</w:t>
      </w:r>
    </w:p>
    <w:p>
      <w:pPr>
        <w:spacing w:line="360" w:lineRule="auto"/>
        <w:ind w:left="-7" w:firstLine="7"/>
        <w:jc w:val="left"/>
        <w:rPr>
          <w:rFonts w:ascii="Times New Roman" w:hAnsi="Times New Roman" w:cs="Times New Roman"/>
          <w:bCs/>
          <w:szCs w:val="21"/>
        </w:rPr>
      </w:pPr>
    </w:p>
    <w:p>
      <w:pPr>
        <w:spacing w:line="360" w:lineRule="auto"/>
        <w:ind w:left="-7" w:firstLine="7"/>
        <w:jc w:val="left"/>
        <w:rPr>
          <w:rFonts w:ascii="Times New Roman" w:hAnsi="Times New Roman" w:cs="Times New Roman"/>
          <w:bCs/>
          <w:szCs w:val="21"/>
        </w:rPr>
      </w:pPr>
    </w:p>
    <w:p>
      <w:pPr>
        <w:spacing w:line="360" w:lineRule="auto"/>
        <w:ind w:left="-7" w:firstLine="7"/>
        <w:jc w:val="left"/>
        <w:rPr>
          <w:rFonts w:ascii="Times New Roman" w:hAnsi="Times New Roman" w:cs="Times New Roman"/>
          <w:bCs/>
          <w:szCs w:val="21"/>
        </w:rPr>
      </w:pPr>
    </w:p>
    <w:p>
      <w:pPr>
        <w:snapToGrid w:val="0"/>
        <w:spacing w:before="93" w:beforeLines="30" w:line="360" w:lineRule="auto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/>
          <w:kern w:val="44"/>
          <w:szCs w:val="21"/>
        </w:rPr>
        <w:t>六、</w:t>
      </w:r>
      <w:bookmarkStart w:id="11" w:name="OLE_LINK1"/>
      <w:r>
        <w:rPr>
          <w:rFonts w:ascii="Times New Roman" w:hAnsi="Times New Roman" w:cs="Times New Roman"/>
          <w:b/>
          <w:kern w:val="44"/>
          <w:szCs w:val="21"/>
        </w:rPr>
        <w:t>仪器参数配置</w:t>
      </w:r>
      <w:bookmarkEnd w:id="11"/>
      <w:r>
        <w:rPr>
          <w:rFonts w:ascii="Times New Roman" w:hAnsi="Times New Roman" w:cs="Times New Roman"/>
          <w:b/>
          <w:kern w:val="44"/>
          <w:szCs w:val="21"/>
        </w:rPr>
        <w:t>Instrument configuration</w:t>
      </w:r>
    </w:p>
    <w:p>
      <w:pPr>
        <w:widowControl/>
        <w:spacing w:line="360" w:lineRule="auto"/>
        <w:ind w:firstLine="420" w:firstLineChars="200"/>
        <w:jc w:val="left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ACEA NovoCyte流式细胞仪由主机、储液台和工作站三部分组成，配备3个激光（405nm、488nm、640nm）和13个荧光检测通道，可检测颗粒粒径范围为0.2～50μm，检测灵敏度</w:t>
      </w:r>
      <w:r>
        <w:rPr>
          <w:rFonts w:hint="eastAsia" w:ascii="Times New Roman" w:hAnsi="Times New Roman" w:cs="Times New Roman"/>
          <w:bCs/>
          <w:szCs w:val="21"/>
          <w:lang w:eastAsia="zh-CN"/>
        </w:rPr>
        <w:t>：</w:t>
      </w:r>
      <w:r>
        <w:rPr>
          <w:rFonts w:ascii="Times New Roman" w:hAnsi="Times New Roman" w:cs="Times New Roman"/>
          <w:bCs/>
          <w:szCs w:val="21"/>
        </w:rPr>
        <w:t>FITC&lt;75MESF，PE&lt;50MESF。</w:t>
      </w:r>
      <w:r>
        <w:rPr>
          <w:rFonts w:hint="eastAsia" w:ascii="Times New Roman" w:hAnsi="Times New Roman" w:cs="Times New Roman"/>
          <w:bCs/>
          <w:szCs w:val="21"/>
        </w:rPr>
        <w:t xml:space="preserve">The ACEA NovoCyte flow cytometer includes the NovoCyte instrument, fluidics station, and NovoCyte workstation. It </w:t>
      </w:r>
      <w:r>
        <w:rPr>
          <w:rFonts w:hint="eastAsia" w:ascii="Times New Roman" w:hAnsi="Times New Roman" w:cs="Times New Roman"/>
          <w:bCs/>
          <w:szCs w:val="21"/>
          <w:lang w:val="en-US" w:eastAsia="zh-CN"/>
        </w:rPr>
        <w:t>is equipped with 3 lasers(</w:t>
      </w:r>
      <w:r>
        <w:rPr>
          <w:rFonts w:hint="eastAsia" w:ascii="Times New Roman" w:hAnsi="Times New Roman" w:cs="Times New Roman"/>
          <w:bCs/>
          <w:szCs w:val="21"/>
        </w:rPr>
        <w:t>405</w:t>
      </w:r>
      <w:r>
        <w:rPr>
          <w:rFonts w:hint="eastAsia" w:ascii="Times New Roman" w:hAnsi="Times New Roman" w:cs="Times New Roman"/>
          <w:bCs/>
          <w:szCs w:val="21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bCs/>
          <w:szCs w:val="21"/>
        </w:rPr>
        <w:t>488</w:t>
      </w:r>
      <w:r>
        <w:rPr>
          <w:rFonts w:hint="eastAsia" w:ascii="Times New Roman" w:hAnsi="Times New Roman" w:cs="Times New Roman"/>
          <w:bCs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Cs/>
          <w:szCs w:val="21"/>
        </w:rPr>
        <w:t>and 640 nm</w:t>
      </w:r>
      <w:r>
        <w:rPr>
          <w:rFonts w:hint="eastAsia" w:ascii="Times New Roman" w:hAnsi="Times New Roman" w:cs="Times New Roman"/>
          <w:bCs/>
          <w:szCs w:val="21"/>
          <w:lang w:val="en-US" w:eastAsia="zh-CN"/>
        </w:rPr>
        <w:t xml:space="preserve">) and </w:t>
      </w:r>
      <w:r>
        <w:rPr>
          <w:rFonts w:hint="eastAsia" w:ascii="Times New Roman" w:hAnsi="Times New Roman" w:cs="Times New Roman"/>
          <w:bCs/>
          <w:szCs w:val="21"/>
        </w:rPr>
        <w:t>can</w:t>
      </w:r>
      <w:r>
        <w:rPr>
          <w:rFonts w:hint="eastAsia" w:ascii="Times New Roman" w:hAnsi="Times New Roman" w:cs="Times New Roman"/>
          <w:bCs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Cs/>
          <w:szCs w:val="21"/>
        </w:rPr>
        <w:t>perform 15-parameter</w:t>
      </w:r>
      <w:r>
        <w:rPr>
          <w:rFonts w:hint="eastAsia" w:ascii="Times New Roman" w:hAnsi="Times New Roman" w:cs="Times New Roman"/>
          <w:bCs/>
          <w:szCs w:val="21"/>
          <w:lang w:val="en-US" w:eastAsia="zh-CN"/>
        </w:rPr>
        <w:t>(13 colors plus forward and side scatter)</w:t>
      </w:r>
      <w:r>
        <w:rPr>
          <w:rFonts w:hint="eastAsia" w:ascii="Times New Roman" w:hAnsi="Times New Roman" w:cs="Times New Roman"/>
          <w:bCs/>
          <w:szCs w:val="21"/>
        </w:rPr>
        <w:t xml:space="preserve"> analysis of cells </w:t>
      </w:r>
      <w:r>
        <w:rPr>
          <w:rFonts w:hint="eastAsia" w:ascii="Times New Roman" w:hAnsi="Times New Roman" w:cs="Times New Roman"/>
          <w:bCs/>
          <w:szCs w:val="21"/>
          <w:lang w:val="en-US" w:eastAsia="zh-CN"/>
        </w:rPr>
        <w:t xml:space="preserve">or </w:t>
      </w:r>
      <w:r>
        <w:rPr>
          <w:rFonts w:hint="eastAsia" w:ascii="Times New Roman" w:hAnsi="Times New Roman" w:cs="Times New Roman"/>
          <w:bCs/>
          <w:szCs w:val="21"/>
        </w:rPr>
        <w:t>particles</w:t>
      </w:r>
      <w:r>
        <w:rPr>
          <w:rFonts w:hint="eastAsia" w:ascii="Times New Roman" w:hAnsi="Times New Roman" w:cs="Times New Roman"/>
          <w:bCs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Cs/>
          <w:szCs w:val="21"/>
        </w:rPr>
        <w:t xml:space="preserve">simultaneously. </w:t>
      </w:r>
      <w:r>
        <w:rPr>
          <w:rFonts w:hint="eastAsia" w:ascii="Times New Roman" w:hAnsi="Times New Roman" w:cs="Times New Roman"/>
          <w:bCs/>
          <w:szCs w:val="21"/>
          <w:lang w:val="en-US" w:eastAsia="zh-CN"/>
        </w:rPr>
        <w:t>Detectable particle size range</w:t>
      </w:r>
      <w:r>
        <w:rPr>
          <w:rFonts w:hint="eastAsia" w:ascii="Times New Roman" w:hAnsi="Times New Roman" w:cs="Times New Roman"/>
          <w:bCs/>
          <w:szCs w:val="21"/>
        </w:rPr>
        <w:t>: 0.2～50μm</w:t>
      </w:r>
      <w:r>
        <w:rPr>
          <w:rFonts w:hint="eastAsia" w:ascii="Times New Roman" w:hAnsi="Times New Roman" w:cs="Times New Roman"/>
          <w:bCs/>
          <w:szCs w:val="21"/>
          <w:lang w:val="en-US" w:eastAsia="zh-CN"/>
        </w:rPr>
        <w:t xml:space="preserve">. </w:t>
      </w:r>
      <w:r>
        <w:rPr>
          <w:rFonts w:hint="eastAsia" w:ascii="Times New Roman" w:hAnsi="Times New Roman" w:cs="Times New Roman"/>
          <w:bCs/>
          <w:szCs w:val="21"/>
        </w:rPr>
        <w:t>Sensitivity:</w:t>
      </w:r>
      <w:r>
        <w:rPr>
          <w:rFonts w:hint="eastAsia" w:ascii="Times New Roman" w:hAnsi="Times New Roman" w:cs="Times New Roman"/>
          <w:bCs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Cs/>
          <w:szCs w:val="21"/>
        </w:rPr>
        <w:t>FITC&lt;75MESF</w:t>
      </w:r>
      <w:r>
        <w:rPr>
          <w:rFonts w:hint="eastAsia" w:ascii="Times New Roman" w:hAnsi="Times New Roman" w:cs="Times New Roman"/>
          <w:bCs/>
          <w:szCs w:val="21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bCs/>
          <w:szCs w:val="21"/>
        </w:rPr>
        <w:t>PE&lt;50MESF.</w:t>
      </w:r>
    </w:p>
    <w:p>
      <w:pPr>
        <w:widowControl/>
        <w:spacing w:line="360" w:lineRule="auto"/>
        <w:jc w:val="left"/>
        <w:rPr>
          <w:rFonts w:ascii="Times New Roman" w:hAnsi="Times New Roman" w:cs="Times New Roman"/>
          <w:bCs/>
          <w:szCs w:val="21"/>
        </w:rPr>
      </w:pPr>
    </w:p>
    <w:tbl>
      <w:tblPr>
        <w:tblStyle w:val="8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886"/>
        <w:gridCol w:w="1427"/>
        <w:gridCol w:w="3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350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Lasers</w:t>
            </w:r>
          </w:p>
        </w:tc>
        <w:tc>
          <w:tcPr>
            <w:tcW w:w="886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FL</w:t>
            </w:r>
          </w:p>
        </w:tc>
        <w:tc>
          <w:tcPr>
            <w:tcW w:w="1427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Channels</w:t>
            </w:r>
          </w:p>
        </w:tc>
        <w:tc>
          <w:tcPr>
            <w:tcW w:w="3877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 xml:space="preserve">Default </w:t>
            </w:r>
            <w:r>
              <w:fldChar w:fldCharType="begin"/>
            </w:r>
            <w:r>
              <w:instrText xml:space="preserve"> HYPERLINK "E:/Dict/8.5.3.0/resultui/html/index.html" \l "/javascript:;"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bCs/>
                <w:szCs w:val="21"/>
              </w:rPr>
              <w:t>Fluorochrome</w:t>
            </w:r>
            <w:r>
              <w:rPr>
                <w:rFonts w:ascii="Times New Roman" w:hAnsi="Times New Roman" w:cs="Times New Roman"/>
                <w:bCs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Alias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350" w:type="dxa"/>
            <w:vMerge w:val="restart"/>
            <w:shd w:val="clear" w:color="auto" w:fill="0070C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488 Bule Laser</w:t>
            </w:r>
          </w:p>
        </w:tc>
        <w:tc>
          <w:tcPr>
            <w:tcW w:w="886" w:type="dxa"/>
            <w:shd w:val="clear" w:color="auto" w:fill="0070C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BL1</w:t>
            </w:r>
          </w:p>
        </w:tc>
        <w:tc>
          <w:tcPr>
            <w:tcW w:w="1427" w:type="dxa"/>
            <w:shd w:val="clear" w:color="auto" w:fill="0070C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530/30</w:t>
            </w:r>
          </w:p>
        </w:tc>
        <w:tc>
          <w:tcPr>
            <w:tcW w:w="3877" w:type="dxa"/>
            <w:shd w:val="clear" w:color="auto" w:fill="0070C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FITC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350" w:type="dxa"/>
            <w:vMerge w:val="continue"/>
            <w:shd w:val="clear" w:color="auto" w:fill="0070C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886" w:type="dxa"/>
            <w:shd w:val="clear" w:color="auto" w:fill="0070C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BL2</w:t>
            </w:r>
          </w:p>
        </w:tc>
        <w:tc>
          <w:tcPr>
            <w:tcW w:w="1427" w:type="dxa"/>
            <w:shd w:val="clear" w:color="auto" w:fill="0070C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572/28</w:t>
            </w:r>
          </w:p>
        </w:tc>
        <w:tc>
          <w:tcPr>
            <w:tcW w:w="3877" w:type="dxa"/>
            <w:shd w:val="clear" w:color="auto" w:fill="0070C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PE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350" w:type="dxa"/>
            <w:vMerge w:val="continue"/>
            <w:shd w:val="clear" w:color="auto" w:fill="0070C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886" w:type="dxa"/>
            <w:shd w:val="clear" w:color="auto" w:fill="0070C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BL3</w:t>
            </w:r>
          </w:p>
        </w:tc>
        <w:tc>
          <w:tcPr>
            <w:tcW w:w="1427" w:type="dxa"/>
            <w:shd w:val="clear" w:color="auto" w:fill="0070C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615/20</w:t>
            </w:r>
          </w:p>
        </w:tc>
        <w:tc>
          <w:tcPr>
            <w:tcW w:w="3877" w:type="dxa"/>
            <w:shd w:val="clear" w:color="auto" w:fill="0070C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PE-Texas 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350" w:type="dxa"/>
            <w:vMerge w:val="continue"/>
            <w:shd w:val="clear" w:color="auto" w:fill="0070C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886" w:type="dxa"/>
            <w:shd w:val="clear" w:color="auto" w:fill="0070C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BL4</w:t>
            </w:r>
          </w:p>
        </w:tc>
        <w:tc>
          <w:tcPr>
            <w:tcW w:w="1427" w:type="dxa"/>
            <w:shd w:val="clear" w:color="auto" w:fill="0070C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675/30</w:t>
            </w:r>
          </w:p>
        </w:tc>
        <w:tc>
          <w:tcPr>
            <w:tcW w:w="3877" w:type="dxa"/>
            <w:shd w:val="clear" w:color="auto" w:fill="0070C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PerCP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350" w:type="dxa"/>
            <w:vMerge w:val="continue"/>
            <w:shd w:val="clear" w:color="auto" w:fill="0070C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886" w:type="dxa"/>
            <w:shd w:val="clear" w:color="auto" w:fill="0070C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BL5</w:t>
            </w:r>
          </w:p>
        </w:tc>
        <w:tc>
          <w:tcPr>
            <w:tcW w:w="1427" w:type="dxa"/>
            <w:shd w:val="clear" w:color="auto" w:fill="0070C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780/60</w:t>
            </w:r>
          </w:p>
        </w:tc>
        <w:tc>
          <w:tcPr>
            <w:tcW w:w="3877" w:type="dxa"/>
            <w:shd w:val="clear" w:color="auto" w:fill="0070C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PE-Cy7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350" w:type="dxa"/>
            <w:vMerge w:val="restart"/>
            <w:shd w:val="clear" w:color="auto" w:fill="FF000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640 Red Laser</w:t>
            </w:r>
          </w:p>
        </w:tc>
        <w:tc>
          <w:tcPr>
            <w:tcW w:w="886" w:type="dxa"/>
            <w:shd w:val="clear" w:color="auto" w:fill="FF000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RL1</w:t>
            </w:r>
          </w:p>
        </w:tc>
        <w:tc>
          <w:tcPr>
            <w:tcW w:w="1427" w:type="dxa"/>
            <w:shd w:val="clear" w:color="auto" w:fill="FF000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675/30</w:t>
            </w:r>
          </w:p>
        </w:tc>
        <w:tc>
          <w:tcPr>
            <w:tcW w:w="3877" w:type="dxa"/>
            <w:shd w:val="clear" w:color="auto" w:fill="FF000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APC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350" w:type="dxa"/>
            <w:vMerge w:val="continue"/>
            <w:shd w:val="clear" w:color="auto" w:fill="FF000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886" w:type="dxa"/>
            <w:shd w:val="clear" w:color="auto" w:fill="FF000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RL2</w:t>
            </w:r>
          </w:p>
        </w:tc>
        <w:tc>
          <w:tcPr>
            <w:tcW w:w="1427" w:type="dxa"/>
            <w:shd w:val="clear" w:color="auto" w:fill="FF000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780/60</w:t>
            </w:r>
          </w:p>
        </w:tc>
        <w:tc>
          <w:tcPr>
            <w:tcW w:w="3877" w:type="dxa"/>
            <w:shd w:val="clear" w:color="auto" w:fill="FF000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APC-Cy7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350" w:type="dxa"/>
            <w:vMerge w:val="restart"/>
            <w:shd w:val="clear" w:color="auto" w:fill="7030A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405 Violet Laser</w:t>
            </w:r>
          </w:p>
        </w:tc>
        <w:tc>
          <w:tcPr>
            <w:tcW w:w="886" w:type="dxa"/>
            <w:shd w:val="clear" w:color="auto" w:fill="7030A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VL1</w:t>
            </w:r>
          </w:p>
        </w:tc>
        <w:tc>
          <w:tcPr>
            <w:tcW w:w="1427" w:type="dxa"/>
            <w:shd w:val="clear" w:color="auto" w:fill="7030A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445/45</w:t>
            </w:r>
          </w:p>
        </w:tc>
        <w:tc>
          <w:tcPr>
            <w:tcW w:w="3877" w:type="dxa"/>
            <w:shd w:val="clear" w:color="auto" w:fill="7030A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Pacific Blue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350" w:type="dxa"/>
            <w:vMerge w:val="continue"/>
            <w:shd w:val="clear" w:color="auto" w:fill="7030A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886" w:type="dxa"/>
            <w:shd w:val="clear" w:color="auto" w:fill="7030A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VL2</w:t>
            </w:r>
          </w:p>
        </w:tc>
        <w:tc>
          <w:tcPr>
            <w:tcW w:w="1427" w:type="dxa"/>
            <w:shd w:val="clear" w:color="auto" w:fill="7030A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530/30</w:t>
            </w:r>
          </w:p>
        </w:tc>
        <w:tc>
          <w:tcPr>
            <w:tcW w:w="3877" w:type="dxa"/>
            <w:shd w:val="clear" w:color="auto" w:fill="7030A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AmCyan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350" w:type="dxa"/>
            <w:vMerge w:val="continue"/>
            <w:shd w:val="clear" w:color="auto" w:fill="7030A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886" w:type="dxa"/>
            <w:shd w:val="clear" w:color="auto" w:fill="7030A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VL3</w:t>
            </w:r>
          </w:p>
        </w:tc>
        <w:tc>
          <w:tcPr>
            <w:tcW w:w="1427" w:type="dxa"/>
            <w:shd w:val="clear" w:color="auto" w:fill="7030A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572/28</w:t>
            </w:r>
          </w:p>
        </w:tc>
        <w:tc>
          <w:tcPr>
            <w:tcW w:w="3877" w:type="dxa"/>
            <w:shd w:val="clear" w:color="auto" w:fill="7030A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Pacific Orange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350" w:type="dxa"/>
            <w:vMerge w:val="continue"/>
            <w:shd w:val="clear" w:color="auto" w:fill="7030A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886" w:type="dxa"/>
            <w:shd w:val="clear" w:color="auto" w:fill="7030A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VL4</w:t>
            </w:r>
          </w:p>
        </w:tc>
        <w:tc>
          <w:tcPr>
            <w:tcW w:w="1427" w:type="dxa"/>
            <w:shd w:val="clear" w:color="auto" w:fill="7030A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615/20</w:t>
            </w:r>
          </w:p>
        </w:tc>
        <w:tc>
          <w:tcPr>
            <w:tcW w:w="3877" w:type="dxa"/>
            <w:shd w:val="clear" w:color="auto" w:fill="7030A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Qdot 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350" w:type="dxa"/>
            <w:vMerge w:val="continue"/>
            <w:shd w:val="clear" w:color="auto" w:fill="7030A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886" w:type="dxa"/>
            <w:shd w:val="clear" w:color="auto" w:fill="7030A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VL5</w:t>
            </w:r>
          </w:p>
        </w:tc>
        <w:tc>
          <w:tcPr>
            <w:tcW w:w="1427" w:type="dxa"/>
            <w:shd w:val="clear" w:color="auto" w:fill="7030A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675/30</w:t>
            </w:r>
          </w:p>
        </w:tc>
        <w:tc>
          <w:tcPr>
            <w:tcW w:w="3877" w:type="dxa"/>
            <w:shd w:val="clear" w:color="auto" w:fill="7030A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Qdot 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350" w:type="dxa"/>
            <w:vMerge w:val="continue"/>
            <w:shd w:val="clear" w:color="auto" w:fill="7030A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886" w:type="dxa"/>
            <w:shd w:val="clear" w:color="auto" w:fill="7030A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VL6</w:t>
            </w:r>
          </w:p>
        </w:tc>
        <w:tc>
          <w:tcPr>
            <w:tcW w:w="1427" w:type="dxa"/>
            <w:shd w:val="clear" w:color="auto" w:fill="7030A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780/60</w:t>
            </w:r>
          </w:p>
        </w:tc>
        <w:tc>
          <w:tcPr>
            <w:tcW w:w="3877" w:type="dxa"/>
            <w:shd w:val="clear" w:color="auto" w:fill="7030A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Qdot 800</w:t>
            </w: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cs="Times New Roman"/>
          <w:bCs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9E408D"/>
    <w:multiLevelType w:val="singleLevel"/>
    <w:tmpl w:val="C29E408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863626A"/>
    <w:multiLevelType w:val="singleLevel"/>
    <w:tmpl w:val="E863626A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EAF18479"/>
    <w:multiLevelType w:val="singleLevel"/>
    <w:tmpl w:val="EAF18479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F2CD539F"/>
    <w:multiLevelType w:val="singleLevel"/>
    <w:tmpl w:val="F2CD539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309DA2C0"/>
    <w:multiLevelType w:val="singleLevel"/>
    <w:tmpl w:val="309DA2C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B3D5C"/>
    <w:rsid w:val="001857F2"/>
    <w:rsid w:val="0024270F"/>
    <w:rsid w:val="002501D8"/>
    <w:rsid w:val="002C2DB5"/>
    <w:rsid w:val="003F7FB6"/>
    <w:rsid w:val="00427AEE"/>
    <w:rsid w:val="00511A48"/>
    <w:rsid w:val="007B2D94"/>
    <w:rsid w:val="007D74EE"/>
    <w:rsid w:val="008B4A9A"/>
    <w:rsid w:val="00D066ED"/>
    <w:rsid w:val="00D32E55"/>
    <w:rsid w:val="00D8346F"/>
    <w:rsid w:val="00E40F5C"/>
    <w:rsid w:val="03E95FA8"/>
    <w:rsid w:val="052511AE"/>
    <w:rsid w:val="070F0444"/>
    <w:rsid w:val="07A97DB4"/>
    <w:rsid w:val="0BD2440C"/>
    <w:rsid w:val="0C471A90"/>
    <w:rsid w:val="0D067DD8"/>
    <w:rsid w:val="0DAF6506"/>
    <w:rsid w:val="0DD03F7F"/>
    <w:rsid w:val="0E923D1D"/>
    <w:rsid w:val="136423CC"/>
    <w:rsid w:val="15EC2083"/>
    <w:rsid w:val="16845D38"/>
    <w:rsid w:val="197E6829"/>
    <w:rsid w:val="19814BC8"/>
    <w:rsid w:val="199B3361"/>
    <w:rsid w:val="1B724D43"/>
    <w:rsid w:val="1B89360F"/>
    <w:rsid w:val="1D4368C8"/>
    <w:rsid w:val="1E4B3D5C"/>
    <w:rsid w:val="1EB34407"/>
    <w:rsid w:val="1F133927"/>
    <w:rsid w:val="2143542C"/>
    <w:rsid w:val="223E2DAF"/>
    <w:rsid w:val="2E990A55"/>
    <w:rsid w:val="2E9B1317"/>
    <w:rsid w:val="2F386E4A"/>
    <w:rsid w:val="38C415FB"/>
    <w:rsid w:val="39695766"/>
    <w:rsid w:val="39953F31"/>
    <w:rsid w:val="404D0F48"/>
    <w:rsid w:val="41206283"/>
    <w:rsid w:val="45A37534"/>
    <w:rsid w:val="462B6A67"/>
    <w:rsid w:val="49122B18"/>
    <w:rsid w:val="492F01E6"/>
    <w:rsid w:val="498D1D0F"/>
    <w:rsid w:val="4A120F7B"/>
    <w:rsid w:val="4A51079C"/>
    <w:rsid w:val="4A7B5837"/>
    <w:rsid w:val="4ADD7A42"/>
    <w:rsid w:val="4C6A5781"/>
    <w:rsid w:val="4D3D1A7B"/>
    <w:rsid w:val="4D6A2A02"/>
    <w:rsid w:val="509A217D"/>
    <w:rsid w:val="571A25EA"/>
    <w:rsid w:val="5DFC0F1A"/>
    <w:rsid w:val="5ED9642B"/>
    <w:rsid w:val="611A7193"/>
    <w:rsid w:val="61A67140"/>
    <w:rsid w:val="62015204"/>
    <w:rsid w:val="639929DD"/>
    <w:rsid w:val="66E21020"/>
    <w:rsid w:val="67DC03AC"/>
    <w:rsid w:val="680F35D6"/>
    <w:rsid w:val="69B76776"/>
    <w:rsid w:val="6E27598D"/>
    <w:rsid w:val="6FB07BAC"/>
    <w:rsid w:val="702B6891"/>
    <w:rsid w:val="706476CB"/>
    <w:rsid w:val="71285BB6"/>
    <w:rsid w:val="743116D6"/>
    <w:rsid w:val="77993918"/>
    <w:rsid w:val="77B90507"/>
    <w:rsid w:val="7A507290"/>
    <w:rsid w:val="7CEC0C29"/>
    <w:rsid w:val="7D7264B3"/>
    <w:rsid w:val="7F2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jc w:val="left"/>
      <w:outlineLvl w:val="0"/>
    </w:pPr>
    <w:rPr>
      <w:b/>
      <w:bCs/>
      <w:kern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854B06-6D96-4107-9CF0-37BBFE5A5B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718</Words>
  <Characters>4093</Characters>
  <Lines>34</Lines>
  <Paragraphs>9</Paragraphs>
  <TotalTime>2</TotalTime>
  <ScaleCrop>false</ScaleCrop>
  <LinksUpToDate>false</LinksUpToDate>
  <CharactersWithSpaces>4802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2019-11-03T06:07:00Z</dcterms:created>
  <dc:creator>dl</dc:creator>
  <cp:lastModifiedBy>dl</cp:lastModifiedBy>
  <dcterms:modified xsi:type="dcterms:W3CDTF">2020-06-15T08:10:08Z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